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 xml:space="preserve">Письмо Минтруда России № 28-6/10/В-4623 от 19 апреля 2021 года </w:t>
      </w:r>
    </w:p>
    <w:p>
      <w:pPr>
        <w:pStyle w:val="Heading2"/>
        <w:rPr/>
      </w:pPr>
      <w:r>
        <w:rPr/>
        <w:t>Федеральные государственные органы (по списку) Высшие органы исполнительной власти субъектов Российской Федерации (по списку) Организации (по списку)</w:t>
      </w:r>
    </w:p>
    <w:p>
      <w:pPr>
        <w:pStyle w:val="TextBody"/>
        <w:rPr/>
      </w:pPr>
      <w:r>
        <w:rPr/>
        <w:t>Министерством труда и социальной защиты Российской Федерации в рамках реализации полномочий, предусмотренных подпунктами «а» и «в» пункта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коррупции», направляются Разъяснения по вопросу возможности применения отдельными категориями лиц специального налогового режима «Налог на профессиональный доход».</w:t>
      </w:r>
    </w:p>
    <w:p>
      <w:pPr>
        <w:pStyle w:val="TextBody"/>
        <w:rPr/>
      </w:pPr>
      <w:r>
        <w:rPr/>
        <w:t>Просим довести до сведения всех заинтересованных должностных лиц положения вышеуказанных Разъяснений, а также руководствоваться ими в дальнейшей деятельности по противодействию коррупции.</w:t>
      </w:r>
    </w:p>
    <w:p>
      <w:pPr>
        <w:pStyle w:val="TextBody"/>
        <w:rPr/>
      </w:pPr>
      <w:r>
        <w:rPr>
          <w:rStyle w:val="StrongEmphasis"/>
        </w:rPr>
        <w:t xml:space="preserve">Заместитель министра </w:t>
      </w:r>
    </w:p>
    <w:p>
      <w:pPr>
        <w:pStyle w:val="TextBody"/>
        <w:spacing w:before="0" w:after="283"/>
        <w:rPr/>
      </w:pPr>
      <w:r>
        <w:rPr>
          <w:rStyle w:val="StrongEmphasis"/>
        </w:rPr>
        <w:t>Е.В. Мухтиярова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